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59CD" w14:textId="77777777" w:rsidR="00B402DC" w:rsidRPr="00A4578A" w:rsidRDefault="00B402DC" w:rsidP="00B402DC">
      <w:pPr>
        <w:pStyle w:val="x-scope"/>
        <w:spacing w:before="0" w:beforeAutospacing="0" w:after="0" w:afterAutospacing="0"/>
        <w:ind w:left="5670" w:right="-285"/>
        <w:rPr>
          <w:rStyle w:val="qowt-font3-timesnewroman"/>
          <w:b/>
          <w:bCs/>
          <w:lang w:val="uk-UA"/>
        </w:rPr>
      </w:pPr>
      <w:r w:rsidRPr="00A4578A">
        <w:rPr>
          <w:rStyle w:val="qowt-font3-timesnewroman"/>
          <w:b/>
          <w:bCs/>
          <w:lang w:val="uk-UA"/>
        </w:rPr>
        <w:t>ЗАТВЕРДЖЕНО</w:t>
      </w:r>
    </w:p>
    <w:p w14:paraId="12C3D854" w14:textId="77777777" w:rsidR="00B402DC" w:rsidRPr="003552B1" w:rsidRDefault="00B402DC" w:rsidP="00B402DC">
      <w:pPr>
        <w:pStyle w:val="x-scope"/>
        <w:spacing w:before="0" w:beforeAutospacing="0" w:after="0" w:afterAutospacing="0"/>
        <w:ind w:left="5670" w:right="-285"/>
        <w:rPr>
          <w:rStyle w:val="qowt-font3-timesnewroman"/>
          <w:b/>
          <w:bCs/>
          <w:lang w:val="uk-UA"/>
        </w:rPr>
      </w:pPr>
      <w:r w:rsidRPr="00A4578A">
        <w:rPr>
          <w:rStyle w:val="qowt-font3-timesnewroman"/>
          <w:b/>
          <w:bCs/>
          <w:lang w:val="uk-UA"/>
        </w:rPr>
        <w:t xml:space="preserve">Протоколом </w:t>
      </w:r>
      <w:r w:rsidRPr="003552B1">
        <w:rPr>
          <w:rStyle w:val="qowt-font3-timesnewroman"/>
          <w:b/>
          <w:bCs/>
          <w:lang w:val="uk-UA"/>
        </w:rPr>
        <w:t xml:space="preserve">засідання </w:t>
      </w:r>
    </w:p>
    <w:p w14:paraId="7E4ED399" w14:textId="0EA2D206" w:rsidR="00B402DC" w:rsidRPr="003552B1" w:rsidRDefault="00B402DC" w:rsidP="00B402DC">
      <w:pPr>
        <w:pStyle w:val="x-scope"/>
        <w:spacing w:before="0" w:beforeAutospacing="0" w:after="0" w:afterAutospacing="0"/>
        <w:ind w:left="5670" w:right="-285"/>
        <w:rPr>
          <w:rStyle w:val="qowt-font3-timesnewroman"/>
          <w:b/>
          <w:bCs/>
          <w:lang w:val="uk-UA"/>
        </w:rPr>
      </w:pPr>
      <w:r>
        <w:rPr>
          <w:rStyle w:val="qowt-font3-timesnewroman"/>
          <w:b/>
          <w:bCs/>
          <w:lang w:val="uk-UA"/>
        </w:rPr>
        <w:t>правління</w:t>
      </w:r>
      <w:r w:rsidRPr="003552B1">
        <w:rPr>
          <w:rStyle w:val="qowt-font3-timesnewroman"/>
          <w:b/>
          <w:bCs/>
          <w:lang w:val="uk-UA"/>
        </w:rPr>
        <w:t xml:space="preserve"> ПрАТ «Укрфінжитло»</w:t>
      </w:r>
    </w:p>
    <w:p w14:paraId="3118808E" w14:textId="17D40E25" w:rsidR="00B402DC" w:rsidRPr="00A4578A" w:rsidRDefault="00B402DC" w:rsidP="00B402DC">
      <w:pPr>
        <w:pStyle w:val="x-scope"/>
        <w:spacing w:before="0" w:beforeAutospacing="0" w:after="0" w:afterAutospacing="0"/>
        <w:ind w:left="5670" w:right="-285"/>
        <w:rPr>
          <w:rStyle w:val="qowt-font3-timesnewroman"/>
          <w:b/>
          <w:bCs/>
          <w:lang w:val="uk-UA"/>
        </w:rPr>
      </w:pPr>
      <w:r w:rsidRPr="003552B1">
        <w:rPr>
          <w:rStyle w:val="qowt-font3-timesnewroman"/>
          <w:b/>
          <w:bCs/>
          <w:lang w:val="uk-UA"/>
        </w:rPr>
        <w:t>№</w:t>
      </w:r>
      <w:r w:rsidR="00F901EF">
        <w:rPr>
          <w:rStyle w:val="qowt-font3-timesnewroman"/>
          <w:b/>
          <w:bCs/>
          <w:lang w:val="uk-UA"/>
        </w:rPr>
        <w:t>10</w:t>
      </w:r>
      <w:r w:rsidRPr="003552B1">
        <w:rPr>
          <w:rStyle w:val="qowt-font3-timesnewroman"/>
          <w:b/>
          <w:bCs/>
          <w:lang w:val="uk-UA"/>
        </w:rPr>
        <w:t xml:space="preserve"> від </w:t>
      </w:r>
      <w:r>
        <w:rPr>
          <w:rStyle w:val="qowt-font3-timesnewroman"/>
          <w:b/>
          <w:bCs/>
          <w:lang w:val="uk-UA"/>
        </w:rPr>
        <w:t>08</w:t>
      </w:r>
      <w:r w:rsidRPr="003552B1">
        <w:rPr>
          <w:rStyle w:val="qowt-font3-timesnewroman"/>
          <w:b/>
          <w:bCs/>
          <w:lang w:val="uk-UA"/>
        </w:rPr>
        <w:t xml:space="preserve"> </w:t>
      </w:r>
      <w:r>
        <w:rPr>
          <w:rStyle w:val="qowt-font3-timesnewroman"/>
          <w:b/>
          <w:bCs/>
          <w:lang w:val="uk-UA"/>
        </w:rPr>
        <w:t>лютого</w:t>
      </w:r>
      <w:r w:rsidRPr="003552B1">
        <w:rPr>
          <w:rStyle w:val="qowt-font3-timesnewroman"/>
          <w:b/>
          <w:bCs/>
          <w:lang w:val="uk-UA"/>
        </w:rPr>
        <w:t xml:space="preserve"> 2023 року</w:t>
      </w:r>
    </w:p>
    <w:p w14:paraId="140897B0" w14:textId="77777777" w:rsidR="00B402DC" w:rsidRPr="00A4578A" w:rsidRDefault="00B402DC" w:rsidP="00B402DC">
      <w:pPr>
        <w:spacing w:after="0" w:line="240" w:lineRule="auto"/>
        <w:jc w:val="center"/>
        <w:rPr>
          <w:rFonts w:ascii="Times New Roman" w:eastAsia="Times New Roman" w:hAnsi="Times New Roman"/>
          <w:lang w:val="uk-UA"/>
        </w:rPr>
      </w:pPr>
    </w:p>
    <w:p w14:paraId="28AFF515" w14:textId="77777777" w:rsidR="00B402DC" w:rsidRPr="00A4578A" w:rsidRDefault="00B402DC" w:rsidP="00B402DC">
      <w:pPr>
        <w:spacing w:after="0" w:line="240" w:lineRule="auto"/>
        <w:jc w:val="center"/>
        <w:rPr>
          <w:rFonts w:ascii="Times New Roman" w:eastAsia="Times New Roman" w:hAnsi="Times New Roman"/>
          <w:b/>
          <w:bCs/>
          <w:lang w:val="uk-UA"/>
        </w:rPr>
      </w:pPr>
    </w:p>
    <w:p w14:paraId="0159FEAC" w14:textId="77777777" w:rsidR="00B402DC" w:rsidRPr="00A4578A" w:rsidRDefault="00B402DC" w:rsidP="00B402DC">
      <w:pPr>
        <w:spacing w:after="0" w:line="240" w:lineRule="auto"/>
        <w:jc w:val="center"/>
        <w:rPr>
          <w:rFonts w:ascii="Times New Roman" w:eastAsia="Times New Roman" w:hAnsi="Times New Roman"/>
          <w:b/>
          <w:bCs/>
          <w:lang w:val="uk-UA"/>
        </w:rPr>
      </w:pPr>
    </w:p>
    <w:p w14:paraId="748BD05E" w14:textId="77777777" w:rsidR="00B402DC" w:rsidRPr="00A4578A" w:rsidRDefault="00B402DC" w:rsidP="00B402DC">
      <w:pPr>
        <w:spacing w:after="0" w:line="240" w:lineRule="auto"/>
        <w:jc w:val="center"/>
        <w:rPr>
          <w:rFonts w:ascii="Times New Roman" w:eastAsia="Times New Roman" w:hAnsi="Times New Roman"/>
          <w:b/>
          <w:bCs/>
          <w:lang w:val="uk-UA"/>
        </w:rPr>
      </w:pPr>
    </w:p>
    <w:p w14:paraId="32C595B8" w14:textId="77777777" w:rsidR="00B402DC" w:rsidRPr="00A4578A" w:rsidRDefault="00B402DC" w:rsidP="00B402DC">
      <w:pPr>
        <w:spacing w:after="0" w:line="240" w:lineRule="auto"/>
        <w:jc w:val="center"/>
        <w:rPr>
          <w:rFonts w:ascii="Times New Roman" w:eastAsia="Times New Roman" w:hAnsi="Times New Roman"/>
          <w:b/>
          <w:bCs/>
          <w:lang w:val="uk-UA"/>
        </w:rPr>
      </w:pPr>
    </w:p>
    <w:p w14:paraId="610D84B1" w14:textId="77777777" w:rsidR="00B402DC" w:rsidRPr="00A4578A" w:rsidRDefault="00B402DC" w:rsidP="00B402DC">
      <w:pPr>
        <w:spacing w:after="0" w:line="240" w:lineRule="auto"/>
        <w:jc w:val="center"/>
        <w:rPr>
          <w:rFonts w:ascii="Times New Roman" w:eastAsia="Times New Roman" w:hAnsi="Times New Roman"/>
          <w:b/>
          <w:bCs/>
          <w:lang w:val="uk-UA"/>
        </w:rPr>
      </w:pPr>
    </w:p>
    <w:p w14:paraId="5EA853C3" w14:textId="77777777" w:rsidR="00B402DC" w:rsidRPr="00A4578A" w:rsidRDefault="00B402DC" w:rsidP="00B402DC">
      <w:pPr>
        <w:spacing w:after="0" w:line="240" w:lineRule="auto"/>
        <w:jc w:val="center"/>
        <w:rPr>
          <w:rFonts w:ascii="Times New Roman" w:eastAsia="Times New Roman" w:hAnsi="Times New Roman"/>
          <w:b/>
          <w:bCs/>
          <w:lang w:val="uk-UA"/>
        </w:rPr>
      </w:pPr>
    </w:p>
    <w:p w14:paraId="7AA25B65" w14:textId="77777777" w:rsidR="00B402DC" w:rsidRPr="00A4578A" w:rsidRDefault="00B402DC" w:rsidP="00B402DC">
      <w:pPr>
        <w:spacing w:after="0" w:line="240" w:lineRule="auto"/>
        <w:jc w:val="center"/>
        <w:rPr>
          <w:rFonts w:ascii="Times New Roman" w:eastAsia="Times New Roman" w:hAnsi="Times New Roman"/>
          <w:b/>
          <w:bCs/>
          <w:lang w:val="uk-UA"/>
        </w:rPr>
      </w:pPr>
    </w:p>
    <w:p w14:paraId="41991FB0" w14:textId="77777777" w:rsidR="00B402DC" w:rsidRPr="00A4578A" w:rsidRDefault="00B402DC" w:rsidP="00B402DC">
      <w:pPr>
        <w:spacing w:after="0" w:line="240" w:lineRule="auto"/>
        <w:jc w:val="center"/>
        <w:rPr>
          <w:rFonts w:ascii="Times New Roman" w:eastAsia="Times New Roman" w:hAnsi="Times New Roman"/>
          <w:b/>
          <w:bCs/>
          <w:lang w:val="uk-UA"/>
        </w:rPr>
      </w:pPr>
    </w:p>
    <w:p w14:paraId="2A616F4B" w14:textId="77777777" w:rsidR="00B402DC" w:rsidRPr="00A4578A" w:rsidRDefault="00B402DC" w:rsidP="00B402DC">
      <w:pPr>
        <w:spacing w:after="0" w:line="240" w:lineRule="auto"/>
        <w:jc w:val="center"/>
        <w:rPr>
          <w:rFonts w:ascii="Times New Roman" w:eastAsia="Times New Roman" w:hAnsi="Times New Roman"/>
          <w:b/>
          <w:bCs/>
          <w:lang w:val="uk-UA"/>
        </w:rPr>
      </w:pPr>
    </w:p>
    <w:p w14:paraId="76F7473E" w14:textId="77777777" w:rsidR="00B402DC" w:rsidRPr="00A4578A" w:rsidRDefault="00B402DC" w:rsidP="00B402DC">
      <w:pPr>
        <w:spacing w:after="0" w:line="240" w:lineRule="auto"/>
        <w:jc w:val="center"/>
        <w:rPr>
          <w:rFonts w:ascii="Times New Roman" w:eastAsia="Times New Roman" w:hAnsi="Times New Roman"/>
          <w:b/>
          <w:bCs/>
          <w:lang w:val="uk-UA"/>
        </w:rPr>
      </w:pPr>
    </w:p>
    <w:p w14:paraId="0774FBCE" w14:textId="77777777" w:rsidR="00B402DC" w:rsidRPr="00A4578A" w:rsidRDefault="00B402DC" w:rsidP="00B402DC">
      <w:pPr>
        <w:spacing w:after="0" w:line="240" w:lineRule="auto"/>
        <w:jc w:val="center"/>
        <w:rPr>
          <w:rFonts w:ascii="Times New Roman" w:eastAsia="Times New Roman" w:hAnsi="Times New Roman"/>
          <w:b/>
          <w:bCs/>
          <w:lang w:val="uk-UA"/>
        </w:rPr>
      </w:pPr>
    </w:p>
    <w:p w14:paraId="2DECBF11" w14:textId="77777777" w:rsidR="00B402DC" w:rsidRPr="00A4578A" w:rsidRDefault="00B402DC" w:rsidP="00B402DC">
      <w:pPr>
        <w:spacing w:after="0" w:line="360" w:lineRule="auto"/>
        <w:jc w:val="center"/>
        <w:rPr>
          <w:rFonts w:ascii="Times New Roman" w:eastAsia="Times New Roman" w:hAnsi="Times New Roman"/>
          <w:b/>
          <w:bCs/>
          <w:sz w:val="32"/>
          <w:szCs w:val="24"/>
          <w:lang w:val="uk-UA"/>
        </w:rPr>
      </w:pPr>
      <w:r w:rsidRPr="00A4578A">
        <w:rPr>
          <w:rFonts w:ascii="Times New Roman" w:eastAsia="Times New Roman" w:hAnsi="Times New Roman"/>
          <w:b/>
          <w:bCs/>
          <w:sz w:val="32"/>
          <w:szCs w:val="24"/>
          <w:lang w:val="uk-UA"/>
        </w:rPr>
        <w:t>ЗМІНИ</w:t>
      </w:r>
    </w:p>
    <w:p w14:paraId="6E6AAF9D" w14:textId="77777777" w:rsidR="00B402DC" w:rsidRPr="00A4578A" w:rsidRDefault="00B402DC" w:rsidP="00B402DC">
      <w:pPr>
        <w:spacing w:after="0" w:line="360" w:lineRule="auto"/>
        <w:jc w:val="center"/>
        <w:rPr>
          <w:rFonts w:ascii="Times New Roman" w:hAnsi="Times New Roman"/>
          <w:b/>
          <w:bCs/>
          <w:sz w:val="32"/>
          <w:szCs w:val="24"/>
          <w:lang w:val="uk-UA"/>
        </w:rPr>
      </w:pPr>
      <w:r w:rsidRPr="00A4578A">
        <w:rPr>
          <w:rFonts w:ascii="Times New Roman" w:eastAsia="Times New Roman" w:hAnsi="Times New Roman"/>
          <w:b/>
          <w:bCs/>
          <w:sz w:val="32"/>
          <w:szCs w:val="24"/>
          <w:lang w:val="uk-UA"/>
        </w:rPr>
        <w:t xml:space="preserve">до </w:t>
      </w:r>
      <w:r w:rsidRPr="00A4578A">
        <w:rPr>
          <w:rFonts w:ascii="Times New Roman" w:hAnsi="Times New Roman"/>
          <w:b/>
          <w:bCs/>
          <w:sz w:val="32"/>
          <w:szCs w:val="24"/>
          <w:lang w:val="uk-UA"/>
        </w:rPr>
        <w:t xml:space="preserve">ПРАВИЛ </w:t>
      </w:r>
    </w:p>
    <w:p w14:paraId="0DDFFBF8" w14:textId="77777777" w:rsidR="00B402DC" w:rsidRPr="00A4578A" w:rsidRDefault="00B402DC" w:rsidP="00B402DC">
      <w:pPr>
        <w:spacing w:after="0" w:line="360" w:lineRule="auto"/>
        <w:jc w:val="center"/>
        <w:rPr>
          <w:rFonts w:ascii="Times New Roman" w:eastAsia="Times New Roman" w:hAnsi="Times New Roman"/>
          <w:b/>
          <w:bCs/>
          <w:sz w:val="32"/>
          <w:szCs w:val="24"/>
          <w:lang w:val="uk-UA"/>
        </w:rPr>
      </w:pPr>
      <w:r w:rsidRPr="00A4578A">
        <w:rPr>
          <w:rFonts w:ascii="Times New Roman" w:hAnsi="Times New Roman"/>
          <w:b/>
          <w:bCs/>
          <w:sz w:val="32"/>
          <w:szCs w:val="24"/>
          <w:lang w:val="uk-UA"/>
        </w:rPr>
        <w:t>забезпечення доступного іпотечного кредитування громадян України приватним акціонерним товариством «Українська фінансова житлова компанія» за програмою «єОселя»</w:t>
      </w:r>
    </w:p>
    <w:p w14:paraId="64D21C27" w14:textId="77777777" w:rsidR="00B402DC" w:rsidRPr="00A4578A" w:rsidRDefault="00B402DC" w:rsidP="00B402DC">
      <w:pPr>
        <w:spacing w:after="0" w:line="360" w:lineRule="auto"/>
        <w:rPr>
          <w:rFonts w:ascii="Times New Roman" w:eastAsia="Times New Roman" w:hAnsi="Times New Roman"/>
          <w:sz w:val="28"/>
          <w:szCs w:val="22"/>
          <w:lang w:val="uk-UA"/>
        </w:rPr>
      </w:pPr>
    </w:p>
    <w:p w14:paraId="6B8EF3CF" w14:textId="77777777" w:rsidR="00B402DC" w:rsidRPr="00A4578A" w:rsidRDefault="00B402DC" w:rsidP="00B402DC">
      <w:pPr>
        <w:spacing w:after="0" w:line="360" w:lineRule="auto"/>
        <w:rPr>
          <w:rFonts w:ascii="Times New Roman" w:eastAsia="Times New Roman" w:hAnsi="Times New Roman"/>
          <w:sz w:val="28"/>
          <w:szCs w:val="22"/>
          <w:lang w:val="uk-UA"/>
        </w:rPr>
      </w:pPr>
    </w:p>
    <w:p w14:paraId="49418016" w14:textId="662C3EC3" w:rsidR="00073ED0" w:rsidRDefault="00B402DC" w:rsidP="00B402DC">
      <w:pPr>
        <w:spacing w:after="0" w:line="240" w:lineRule="auto"/>
        <w:ind w:left="720" w:hanging="360"/>
        <w:jc w:val="center"/>
      </w:pPr>
      <w:r w:rsidRPr="00A4578A">
        <w:rPr>
          <w:rFonts w:ascii="Times New Roman" w:hAnsi="Times New Roman"/>
          <w:i/>
          <w:iCs/>
          <w:sz w:val="28"/>
          <w:szCs w:val="22"/>
          <w:lang w:val="uk-UA"/>
        </w:rPr>
        <w:t>згідно постанови Кабінету Міністрів України від 02.08.2022 року №856 «Деякі питання забезпечення приватним акціонерним товариством «Українська фінансова житлова компанія» доступного іпотечного кредитування громадян України» (із змінами)</w:t>
      </w:r>
    </w:p>
    <w:p w14:paraId="165F3A62" w14:textId="43E8B740" w:rsidR="00073ED0" w:rsidRDefault="00073ED0" w:rsidP="00073ED0">
      <w:pPr>
        <w:spacing w:after="0" w:line="240" w:lineRule="auto"/>
        <w:ind w:left="720"/>
        <w:rPr>
          <w:rFonts w:ascii="Times New Roman" w:eastAsia="Times New Roman" w:hAnsi="Times New Roman"/>
          <w:lang w:val="en-US"/>
        </w:rPr>
      </w:pPr>
    </w:p>
    <w:p w14:paraId="51CAECEA" w14:textId="70EF9E9A" w:rsidR="00B402DC" w:rsidRDefault="00B402DC" w:rsidP="00073ED0">
      <w:pPr>
        <w:spacing w:after="0" w:line="240" w:lineRule="auto"/>
        <w:ind w:left="720"/>
        <w:rPr>
          <w:rFonts w:ascii="Times New Roman" w:eastAsia="Times New Roman" w:hAnsi="Times New Roman"/>
          <w:lang w:val="en-US"/>
        </w:rPr>
      </w:pPr>
    </w:p>
    <w:p w14:paraId="33A472BB" w14:textId="46D24248" w:rsidR="00B402DC" w:rsidRDefault="00B402DC" w:rsidP="00073ED0">
      <w:pPr>
        <w:spacing w:after="0" w:line="240" w:lineRule="auto"/>
        <w:ind w:left="720"/>
        <w:rPr>
          <w:rFonts w:ascii="Times New Roman" w:eastAsia="Times New Roman" w:hAnsi="Times New Roman"/>
          <w:lang w:val="en-US"/>
        </w:rPr>
      </w:pPr>
    </w:p>
    <w:p w14:paraId="0B458F8A" w14:textId="06A04A46" w:rsidR="00B402DC" w:rsidRDefault="00B402DC" w:rsidP="00073ED0">
      <w:pPr>
        <w:spacing w:after="0" w:line="240" w:lineRule="auto"/>
        <w:ind w:left="720"/>
        <w:rPr>
          <w:rFonts w:ascii="Times New Roman" w:eastAsia="Times New Roman" w:hAnsi="Times New Roman"/>
          <w:lang w:val="en-US"/>
        </w:rPr>
      </w:pPr>
    </w:p>
    <w:p w14:paraId="4E4E0831" w14:textId="229D1273" w:rsidR="00B402DC" w:rsidRDefault="00B402DC" w:rsidP="00073ED0">
      <w:pPr>
        <w:spacing w:after="0" w:line="240" w:lineRule="auto"/>
        <w:ind w:left="720"/>
        <w:rPr>
          <w:rFonts w:ascii="Times New Roman" w:eastAsia="Times New Roman" w:hAnsi="Times New Roman"/>
          <w:lang w:val="en-US"/>
        </w:rPr>
      </w:pPr>
    </w:p>
    <w:p w14:paraId="7ED986A9" w14:textId="7A100D22" w:rsidR="00B402DC" w:rsidRDefault="00B402DC" w:rsidP="00073ED0">
      <w:pPr>
        <w:spacing w:after="0" w:line="240" w:lineRule="auto"/>
        <w:ind w:left="720"/>
        <w:rPr>
          <w:rFonts w:ascii="Times New Roman" w:eastAsia="Times New Roman" w:hAnsi="Times New Roman"/>
          <w:lang w:val="en-US"/>
        </w:rPr>
      </w:pPr>
    </w:p>
    <w:p w14:paraId="54D4C869" w14:textId="0219561D" w:rsidR="00B402DC" w:rsidRDefault="00B402DC" w:rsidP="00073ED0">
      <w:pPr>
        <w:spacing w:after="0" w:line="240" w:lineRule="auto"/>
        <w:ind w:left="720"/>
        <w:rPr>
          <w:rFonts w:ascii="Times New Roman" w:eastAsia="Times New Roman" w:hAnsi="Times New Roman"/>
          <w:lang w:val="en-US"/>
        </w:rPr>
      </w:pPr>
    </w:p>
    <w:p w14:paraId="21095494" w14:textId="7DFE7487" w:rsidR="00B402DC" w:rsidRDefault="00B402DC" w:rsidP="00073ED0">
      <w:pPr>
        <w:spacing w:after="0" w:line="240" w:lineRule="auto"/>
        <w:ind w:left="720"/>
        <w:rPr>
          <w:rFonts w:ascii="Times New Roman" w:eastAsia="Times New Roman" w:hAnsi="Times New Roman"/>
          <w:lang w:val="en-US"/>
        </w:rPr>
      </w:pPr>
    </w:p>
    <w:p w14:paraId="25C949D1" w14:textId="3621AA9F" w:rsidR="00B402DC" w:rsidRDefault="00B402DC" w:rsidP="00073ED0">
      <w:pPr>
        <w:spacing w:after="0" w:line="240" w:lineRule="auto"/>
        <w:ind w:left="720"/>
        <w:rPr>
          <w:rFonts w:ascii="Times New Roman" w:eastAsia="Times New Roman" w:hAnsi="Times New Roman"/>
          <w:lang w:val="en-US"/>
        </w:rPr>
      </w:pPr>
    </w:p>
    <w:p w14:paraId="449B6B7B" w14:textId="19771FBC" w:rsidR="00B402DC" w:rsidRDefault="00B402DC" w:rsidP="00073ED0">
      <w:pPr>
        <w:spacing w:after="0" w:line="240" w:lineRule="auto"/>
        <w:ind w:left="720"/>
        <w:rPr>
          <w:rFonts w:ascii="Times New Roman" w:eastAsia="Times New Roman" w:hAnsi="Times New Roman"/>
          <w:lang w:val="en-US"/>
        </w:rPr>
      </w:pPr>
    </w:p>
    <w:p w14:paraId="0A091ECE" w14:textId="1AEF7E75" w:rsidR="00B402DC" w:rsidRDefault="00B402DC" w:rsidP="00073ED0">
      <w:pPr>
        <w:spacing w:after="0" w:line="240" w:lineRule="auto"/>
        <w:ind w:left="720"/>
        <w:rPr>
          <w:rFonts w:ascii="Times New Roman" w:eastAsia="Times New Roman" w:hAnsi="Times New Roman"/>
          <w:lang w:val="en-US"/>
        </w:rPr>
      </w:pPr>
    </w:p>
    <w:p w14:paraId="70D31C21" w14:textId="6DEAFEB8" w:rsidR="00B402DC" w:rsidRDefault="00B402DC" w:rsidP="00073ED0">
      <w:pPr>
        <w:spacing w:after="0" w:line="240" w:lineRule="auto"/>
        <w:ind w:left="720"/>
        <w:rPr>
          <w:rFonts w:ascii="Times New Roman" w:eastAsia="Times New Roman" w:hAnsi="Times New Roman"/>
          <w:lang w:val="en-US"/>
        </w:rPr>
      </w:pPr>
    </w:p>
    <w:p w14:paraId="6B3AC5DD" w14:textId="48C59437" w:rsidR="00B402DC" w:rsidRDefault="00B402DC" w:rsidP="00073ED0">
      <w:pPr>
        <w:spacing w:after="0" w:line="240" w:lineRule="auto"/>
        <w:ind w:left="720"/>
        <w:rPr>
          <w:rFonts w:ascii="Times New Roman" w:eastAsia="Times New Roman" w:hAnsi="Times New Roman"/>
          <w:lang w:val="en-US"/>
        </w:rPr>
      </w:pPr>
    </w:p>
    <w:p w14:paraId="5ED3CF3B" w14:textId="7EC1EEAF" w:rsidR="00B402DC" w:rsidRDefault="00B402DC" w:rsidP="00073ED0">
      <w:pPr>
        <w:spacing w:after="0" w:line="240" w:lineRule="auto"/>
        <w:ind w:left="720"/>
        <w:rPr>
          <w:rFonts w:ascii="Times New Roman" w:eastAsia="Times New Roman" w:hAnsi="Times New Roman"/>
          <w:lang w:val="en-US"/>
        </w:rPr>
      </w:pPr>
    </w:p>
    <w:p w14:paraId="70EEB11F" w14:textId="100DF4B7" w:rsidR="00B402DC" w:rsidRDefault="00B402DC" w:rsidP="00073ED0">
      <w:pPr>
        <w:spacing w:after="0" w:line="240" w:lineRule="auto"/>
        <w:ind w:left="720"/>
        <w:rPr>
          <w:rFonts w:ascii="Times New Roman" w:eastAsia="Times New Roman" w:hAnsi="Times New Roman"/>
          <w:lang w:val="en-US"/>
        </w:rPr>
      </w:pPr>
    </w:p>
    <w:p w14:paraId="0271CD1A" w14:textId="62D60FE5" w:rsidR="00B402DC" w:rsidRDefault="00B402DC" w:rsidP="00073ED0">
      <w:pPr>
        <w:spacing w:after="0" w:line="240" w:lineRule="auto"/>
        <w:ind w:left="720"/>
        <w:rPr>
          <w:rFonts w:ascii="Times New Roman" w:eastAsia="Times New Roman" w:hAnsi="Times New Roman"/>
          <w:lang w:val="en-US"/>
        </w:rPr>
      </w:pPr>
    </w:p>
    <w:p w14:paraId="492CBFE6" w14:textId="3AEB2445" w:rsidR="00B402DC" w:rsidRDefault="00B402DC" w:rsidP="00073ED0">
      <w:pPr>
        <w:spacing w:after="0" w:line="240" w:lineRule="auto"/>
        <w:ind w:left="720"/>
        <w:rPr>
          <w:rFonts w:ascii="Times New Roman" w:eastAsia="Times New Roman" w:hAnsi="Times New Roman"/>
          <w:lang w:val="en-US"/>
        </w:rPr>
      </w:pPr>
    </w:p>
    <w:p w14:paraId="69DB35FE" w14:textId="77777777" w:rsidR="00B402DC" w:rsidRDefault="00B402DC" w:rsidP="00073ED0">
      <w:pPr>
        <w:spacing w:after="0" w:line="240" w:lineRule="auto"/>
        <w:ind w:left="720"/>
        <w:rPr>
          <w:rFonts w:ascii="Times New Roman" w:eastAsia="Times New Roman" w:hAnsi="Times New Roman"/>
          <w:lang w:val="en-US"/>
        </w:rPr>
      </w:pPr>
    </w:p>
    <w:p w14:paraId="0245F809" w14:textId="77777777" w:rsidR="00B402DC" w:rsidRPr="00B402DC" w:rsidRDefault="00B402DC" w:rsidP="00073ED0">
      <w:pPr>
        <w:spacing w:after="0" w:line="240" w:lineRule="auto"/>
        <w:ind w:left="720"/>
        <w:rPr>
          <w:rFonts w:ascii="Times New Roman" w:eastAsia="Times New Roman" w:hAnsi="Times New Roman"/>
          <w:lang w:val="en-US"/>
        </w:rPr>
      </w:pPr>
    </w:p>
    <w:p w14:paraId="5E4F73F4" w14:textId="77777777" w:rsidR="00073ED0" w:rsidRDefault="00073ED0" w:rsidP="00073ED0">
      <w:pPr>
        <w:pStyle w:val="a3"/>
        <w:numPr>
          <w:ilvl w:val="0"/>
          <w:numId w:val="2"/>
        </w:numPr>
        <w:tabs>
          <w:tab w:val="left" w:pos="1134"/>
        </w:tabs>
        <w:spacing w:after="200" w:line="276" w:lineRule="auto"/>
        <w:ind w:left="0" w:firstLine="567"/>
        <w:jc w:val="both"/>
        <w:rPr>
          <w:rFonts w:ascii="Times New Roman" w:hAnsi="Times New Roman"/>
          <w:lang w:val="uk-UA"/>
        </w:rPr>
      </w:pPr>
      <w:proofErr w:type="spellStart"/>
      <w:r w:rsidRPr="00774AD9">
        <w:rPr>
          <w:rFonts w:ascii="Times New Roman" w:hAnsi="Times New Roman"/>
          <w:lang w:val="uk-UA"/>
        </w:rPr>
        <w:lastRenderedPageBreak/>
        <w:t>Внести</w:t>
      </w:r>
      <w:proofErr w:type="spellEnd"/>
      <w:r w:rsidRPr="00774AD9">
        <w:rPr>
          <w:rFonts w:ascii="Times New Roman" w:hAnsi="Times New Roman"/>
          <w:lang w:val="uk-UA"/>
        </w:rPr>
        <w:t xml:space="preserve"> зміни до «Нормативної площі предмету іпотеки» пункту 3.2 «ПРЕДМЕТ ІПОТЕКИ ТА ЙОГО СТРАХУВАННЯ» розділу 3. «ІПОТЕЧНИЙ КРЕДИТ» Правил щодо забезпечення приватним акціонерним товариством «Українська фінансова житлова компанія» доступного іпотечного кредитування громадян України єОселя, затверджених протоколом засідання наглядової ради ПрАТ «УКРФІНЖИТЛО» №4 від 29.09.2022р (надалі – Правила), та викласти його у наступній редакції:</w:t>
      </w:r>
    </w:p>
    <w:p w14:paraId="6F90F634" w14:textId="77777777" w:rsidR="004451BD" w:rsidRPr="00774AD9" w:rsidRDefault="004451BD" w:rsidP="004451BD">
      <w:pPr>
        <w:pStyle w:val="a3"/>
        <w:tabs>
          <w:tab w:val="left" w:pos="1134"/>
        </w:tabs>
        <w:spacing w:after="200" w:line="276" w:lineRule="auto"/>
        <w:ind w:left="567"/>
        <w:jc w:val="both"/>
        <w:rPr>
          <w:rFonts w:ascii="Times New Roman" w:hAnsi="Times New Roman"/>
          <w:lang w:val="uk-UA"/>
        </w:rPr>
      </w:pPr>
    </w:p>
    <w:tbl>
      <w:tblPr>
        <w:tblStyle w:val="a4"/>
        <w:tblW w:w="9634" w:type="dxa"/>
        <w:tblLook w:val="04A0" w:firstRow="1" w:lastRow="0" w:firstColumn="1" w:lastColumn="0" w:noHBand="0" w:noVBand="1"/>
      </w:tblPr>
      <w:tblGrid>
        <w:gridCol w:w="3397"/>
        <w:gridCol w:w="6237"/>
      </w:tblGrid>
      <w:tr w:rsidR="00073ED0" w:rsidRPr="00774AD9" w14:paraId="7F3571F2" w14:textId="77777777" w:rsidTr="00020DCC">
        <w:tc>
          <w:tcPr>
            <w:tcW w:w="3397" w:type="dxa"/>
          </w:tcPr>
          <w:p w14:paraId="292033E1" w14:textId="77777777" w:rsidR="00073ED0" w:rsidRPr="00774AD9" w:rsidRDefault="00073ED0" w:rsidP="004C346A">
            <w:pPr>
              <w:pStyle w:val="a3"/>
              <w:ind w:left="142"/>
              <w:rPr>
                <w:rFonts w:ascii="Times New Roman" w:hAnsi="Times New Roman"/>
                <w:lang w:val="uk-UA"/>
              </w:rPr>
            </w:pPr>
            <w:r w:rsidRPr="00774AD9">
              <w:rPr>
                <w:rFonts w:ascii="Times New Roman" w:hAnsi="Times New Roman"/>
                <w:lang w:val="uk-UA"/>
              </w:rPr>
              <w:t xml:space="preserve">Нормативна площа предмету іпотеки </w:t>
            </w:r>
          </w:p>
        </w:tc>
        <w:tc>
          <w:tcPr>
            <w:tcW w:w="6237" w:type="dxa"/>
          </w:tcPr>
          <w:p w14:paraId="53730937" w14:textId="2AD35B0F" w:rsidR="00073ED0" w:rsidRPr="00020DCC" w:rsidRDefault="00073ED0" w:rsidP="004C346A">
            <w:pPr>
              <w:jc w:val="both"/>
              <w:rPr>
                <w:rFonts w:ascii="Times New Roman" w:eastAsia="Times New Roman" w:hAnsi="Times New Roman"/>
                <w:szCs w:val="24"/>
                <w:lang w:val="uk-UA"/>
              </w:rPr>
            </w:pPr>
            <w:r w:rsidRPr="00020DCC">
              <w:rPr>
                <w:rFonts w:ascii="Times New Roman" w:hAnsi="Times New Roman"/>
                <w:szCs w:val="24"/>
                <w:lang w:val="uk-UA"/>
              </w:rPr>
              <w:t xml:space="preserve">Нормативна площа житла або майнових прав на житло, що будується, що надається для сім’ї з однієї особи (одинока особа), становить не більш як 52,5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метра загальної площі, та додатково 21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 </w:t>
            </w:r>
            <w:r w:rsidR="00261588" w:rsidRPr="00020DCC">
              <w:rPr>
                <w:rFonts w:ascii="Times New Roman" w:hAnsi="Times New Roman"/>
                <w:szCs w:val="24"/>
                <w:lang w:val="uk-UA"/>
              </w:rPr>
              <w:t xml:space="preserve">- </w:t>
            </w:r>
            <w:r w:rsidRPr="00020DCC">
              <w:rPr>
                <w:rFonts w:ascii="Times New Roman" w:hAnsi="Times New Roman"/>
                <w:szCs w:val="24"/>
                <w:lang w:val="uk-UA"/>
              </w:rPr>
              <w:t>на кожного наступного члена сім’ї. Вартість понаднормативної площі житла або майнових прав на житло, що будується, покривається Кандидатом за рахунок першого внеску</w:t>
            </w:r>
          </w:p>
        </w:tc>
      </w:tr>
    </w:tbl>
    <w:p w14:paraId="4061517E" w14:textId="77777777" w:rsidR="00073ED0" w:rsidRPr="00774AD9" w:rsidRDefault="00073ED0" w:rsidP="00073ED0">
      <w:pPr>
        <w:pStyle w:val="a3"/>
        <w:tabs>
          <w:tab w:val="left" w:pos="1134"/>
        </w:tabs>
        <w:spacing w:after="200" w:line="276" w:lineRule="auto"/>
        <w:ind w:left="567"/>
        <w:jc w:val="both"/>
        <w:rPr>
          <w:rFonts w:ascii="Times New Roman" w:hAnsi="Times New Roman"/>
          <w:lang w:val="uk-UA"/>
        </w:rPr>
      </w:pPr>
    </w:p>
    <w:p w14:paraId="70801CEC" w14:textId="77777777" w:rsidR="00073ED0" w:rsidRPr="00774AD9" w:rsidRDefault="00073ED0" w:rsidP="00073ED0">
      <w:pPr>
        <w:pStyle w:val="a3"/>
        <w:numPr>
          <w:ilvl w:val="0"/>
          <w:numId w:val="2"/>
        </w:numPr>
        <w:tabs>
          <w:tab w:val="left" w:pos="1134"/>
        </w:tabs>
        <w:spacing w:after="200" w:line="276" w:lineRule="auto"/>
        <w:ind w:left="0" w:firstLine="567"/>
        <w:jc w:val="both"/>
        <w:rPr>
          <w:rFonts w:ascii="Times New Roman" w:hAnsi="Times New Roman"/>
          <w:lang w:val="uk-UA"/>
        </w:rPr>
      </w:pPr>
      <w:proofErr w:type="spellStart"/>
      <w:r w:rsidRPr="00774AD9">
        <w:rPr>
          <w:rFonts w:ascii="Times New Roman" w:hAnsi="Times New Roman"/>
          <w:lang w:val="uk-UA"/>
        </w:rPr>
        <w:t>Внести</w:t>
      </w:r>
      <w:proofErr w:type="spellEnd"/>
      <w:r w:rsidRPr="00774AD9">
        <w:rPr>
          <w:rFonts w:ascii="Times New Roman" w:hAnsi="Times New Roman"/>
          <w:lang w:val="uk-UA"/>
        </w:rPr>
        <w:t xml:space="preserve"> </w:t>
      </w:r>
      <w:r w:rsidRPr="00774AD9">
        <w:rPr>
          <w:rFonts w:ascii="Times New Roman" w:hAnsi="Times New Roman" w:cs="Times New Roman"/>
          <w:lang w:val="uk-UA"/>
        </w:rPr>
        <w:t xml:space="preserve">зміни до «Суми кредиту» пункту </w:t>
      </w:r>
      <w:r w:rsidRPr="00774AD9">
        <w:rPr>
          <w:rFonts w:ascii="Times New Roman" w:hAnsi="Times New Roman" w:cs="Times New Roman"/>
        </w:rPr>
        <w:t>3.3 УМОВИ КРЕДИТУВАННЯ</w:t>
      </w:r>
      <w:r w:rsidRPr="00774AD9">
        <w:rPr>
          <w:rFonts w:ascii="Times New Roman" w:hAnsi="Times New Roman" w:cs="Times New Roman"/>
          <w:lang w:val="uk-UA"/>
        </w:rPr>
        <w:t xml:space="preserve"> розділу 3. «ІПОТЕЧНИЙ КРЕДИТ» Правил, та викласти</w:t>
      </w:r>
      <w:r w:rsidRPr="00774AD9">
        <w:rPr>
          <w:rFonts w:ascii="Times New Roman" w:hAnsi="Times New Roman"/>
          <w:lang w:val="uk-UA"/>
        </w:rPr>
        <w:t xml:space="preserve"> його у наступній редакції:</w:t>
      </w:r>
    </w:p>
    <w:tbl>
      <w:tblPr>
        <w:tblStyle w:val="a4"/>
        <w:tblW w:w="0" w:type="auto"/>
        <w:tblLook w:val="04A0" w:firstRow="1" w:lastRow="0" w:firstColumn="1" w:lastColumn="0" w:noHBand="0" w:noVBand="1"/>
      </w:tblPr>
      <w:tblGrid>
        <w:gridCol w:w="3371"/>
        <w:gridCol w:w="6258"/>
      </w:tblGrid>
      <w:tr w:rsidR="00073ED0" w:rsidRPr="00774AD9" w14:paraId="5FF18C80" w14:textId="77777777" w:rsidTr="004C346A">
        <w:tc>
          <w:tcPr>
            <w:tcW w:w="3510" w:type="dxa"/>
          </w:tcPr>
          <w:p w14:paraId="7DE274E1" w14:textId="77777777" w:rsidR="00073ED0" w:rsidRPr="00774AD9" w:rsidRDefault="00073ED0" w:rsidP="004C346A">
            <w:pPr>
              <w:rPr>
                <w:rFonts w:ascii="Times New Roman" w:hAnsi="Times New Roman"/>
                <w:szCs w:val="24"/>
                <w:lang w:val="uk-UA"/>
              </w:rPr>
            </w:pPr>
            <w:r w:rsidRPr="00774AD9">
              <w:rPr>
                <w:rFonts w:ascii="Times New Roman" w:hAnsi="Times New Roman"/>
                <w:szCs w:val="24"/>
                <w:lang w:val="uk-UA"/>
              </w:rPr>
              <w:t>Сума кредиту</w:t>
            </w:r>
          </w:p>
        </w:tc>
        <w:tc>
          <w:tcPr>
            <w:tcW w:w="6521" w:type="dxa"/>
          </w:tcPr>
          <w:p w14:paraId="73AAD259" w14:textId="77777777" w:rsidR="00073ED0" w:rsidRPr="00020DCC" w:rsidRDefault="00073ED0" w:rsidP="004C346A">
            <w:pPr>
              <w:jc w:val="both"/>
              <w:rPr>
                <w:rFonts w:ascii="Times New Roman" w:hAnsi="Times New Roman"/>
                <w:szCs w:val="24"/>
                <w:lang w:val="uk-UA"/>
              </w:rPr>
            </w:pPr>
            <w:r w:rsidRPr="00020DCC">
              <w:rPr>
                <w:rFonts w:ascii="Times New Roman" w:hAnsi="Times New Roman"/>
                <w:szCs w:val="24"/>
                <w:lang w:val="uk-UA"/>
              </w:rPr>
              <w:t xml:space="preserve">Для розрахунку суми кредиту: </w:t>
            </w:r>
          </w:p>
          <w:p w14:paraId="7B548ED9" w14:textId="77777777" w:rsidR="00073ED0" w:rsidRPr="00020DCC" w:rsidRDefault="00073ED0" w:rsidP="004C346A">
            <w:pPr>
              <w:jc w:val="both"/>
              <w:rPr>
                <w:rFonts w:ascii="Times New Roman" w:hAnsi="Times New Roman"/>
                <w:szCs w:val="24"/>
                <w:lang w:val="uk-UA"/>
              </w:rPr>
            </w:pPr>
            <w:r w:rsidRPr="00020DCC">
              <w:rPr>
                <w:rFonts w:ascii="Times New Roman" w:hAnsi="Times New Roman"/>
                <w:szCs w:val="24"/>
                <w:lang w:val="uk-UA"/>
              </w:rPr>
              <w:t xml:space="preserve">- вартість 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метра загальної площі житла або майнових прав на житло, що будується, не повинна перевищувати граничну вартість 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метра загальної площі житла або майнових прав на житло, що будується. Гранична вартість 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метра загальної площі житла або майнових прав на житло, що будується, для м. Києва, Дніпра, Львова, Одеси та Харкова не може перевищувати опосередковану вартість спорудження житла за регіонами України, визначену </w:t>
            </w:r>
            <w:proofErr w:type="spellStart"/>
            <w:r w:rsidRPr="00020DCC">
              <w:rPr>
                <w:rFonts w:ascii="Times New Roman" w:hAnsi="Times New Roman"/>
                <w:szCs w:val="24"/>
                <w:lang w:val="uk-UA"/>
              </w:rPr>
              <w:t>Мінрегіоном</w:t>
            </w:r>
            <w:proofErr w:type="spellEnd"/>
            <w:r w:rsidRPr="00020DCC">
              <w:rPr>
                <w:rFonts w:ascii="Times New Roman" w:hAnsi="Times New Roman"/>
                <w:szCs w:val="24"/>
                <w:lang w:val="uk-UA"/>
              </w:rPr>
              <w:t xml:space="preserve"> та збільшену в 2,5 </w:t>
            </w:r>
            <w:proofErr w:type="spellStart"/>
            <w:r w:rsidRPr="00020DCC">
              <w:rPr>
                <w:rFonts w:ascii="Times New Roman" w:hAnsi="Times New Roman"/>
                <w:szCs w:val="24"/>
                <w:lang w:val="uk-UA"/>
              </w:rPr>
              <w:t>раза</w:t>
            </w:r>
            <w:proofErr w:type="spellEnd"/>
            <w:r w:rsidRPr="00020DCC">
              <w:rPr>
                <w:rFonts w:ascii="Times New Roman" w:hAnsi="Times New Roman"/>
                <w:szCs w:val="24"/>
                <w:lang w:val="uk-UA"/>
              </w:rPr>
              <w:t xml:space="preserve">, для міст з населенням понад 300 тис. осіб, обласних центрів, а також населених пунктів, які розташовані на відстані до 15 кілометрів від меж м. Києва та обласних центрів, - 2 рази, для міст з населенням від 100 тис. до 300 тис. - 1,75 </w:t>
            </w:r>
            <w:proofErr w:type="spellStart"/>
            <w:r w:rsidRPr="00020DCC">
              <w:rPr>
                <w:rFonts w:ascii="Times New Roman" w:hAnsi="Times New Roman"/>
                <w:szCs w:val="24"/>
                <w:lang w:val="uk-UA"/>
              </w:rPr>
              <w:t>раза</w:t>
            </w:r>
            <w:proofErr w:type="spellEnd"/>
            <w:r w:rsidRPr="00020DCC">
              <w:rPr>
                <w:rFonts w:ascii="Times New Roman" w:hAnsi="Times New Roman"/>
                <w:szCs w:val="24"/>
                <w:lang w:val="uk-UA"/>
              </w:rPr>
              <w:t xml:space="preserve">, для інших населених пунктів - опосередковану вартість у відповідному регіоні; </w:t>
            </w:r>
          </w:p>
          <w:p w14:paraId="75F91809" w14:textId="77777777" w:rsidR="00073ED0" w:rsidRPr="00020DCC" w:rsidRDefault="00073ED0" w:rsidP="004C346A">
            <w:pPr>
              <w:jc w:val="both"/>
              <w:rPr>
                <w:rFonts w:ascii="Times New Roman" w:hAnsi="Times New Roman"/>
                <w:szCs w:val="24"/>
                <w:lang w:val="uk-UA"/>
              </w:rPr>
            </w:pPr>
            <w:r w:rsidRPr="00020DCC">
              <w:rPr>
                <w:rFonts w:ascii="Times New Roman" w:hAnsi="Times New Roman"/>
                <w:szCs w:val="24"/>
                <w:lang w:val="uk-UA"/>
              </w:rPr>
              <w:t xml:space="preserve">- нормативна площа житла або майнових прав на житло, що будується, що надається для сім’ї з однієї особи (одинока особа), становить не більш як 52,5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метра загальної площі та додатково 21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xml:space="preserve">. метр - на кожного наступного члена сім’ї. </w:t>
            </w:r>
          </w:p>
          <w:p w14:paraId="701BFF30" w14:textId="77777777" w:rsidR="00073ED0" w:rsidRPr="00020DCC" w:rsidRDefault="00073ED0" w:rsidP="004C346A">
            <w:pPr>
              <w:jc w:val="both"/>
              <w:rPr>
                <w:rFonts w:ascii="Times New Roman" w:hAnsi="Times New Roman"/>
                <w:szCs w:val="24"/>
                <w:lang w:val="uk-UA"/>
              </w:rPr>
            </w:pPr>
            <w:r w:rsidRPr="00020DCC">
              <w:rPr>
                <w:rFonts w:ascii="Times New Roman" w:hAnsi="Times New Roman"/>
                <w:szCs w:val="24"/>
                <w:lang w:val="uk-UA"/>
              </w:rPr>
              <w:t xml:space="preserve">Сума перевищення граничної вартості 1 </w:t>
            </w:r>
            <w:proofErr w:type="spellStart"/>
            <w:r w:rsidRPr="00020DCC">
              <w:rPr>
                <w:rFonts w:ascii="Times New Roman" w:hAnsi="Times New Roman"/>
                <w:szCs w:val="24"/>
                <w:lang w:val="uk-UA"/>
              </w:rPr>
              <w:t>кв</w:t>
            </w:r>
            <w:proofErr w:type="spellEnd"/>
            <w:r w:rsidRPr="00020DCC">
              <w:rPr>
                <w:rFonts w:ascii="Times New Roman" w:hAnsi="Times New Roman"/>
                <w:szCs w:val="24"/>
                <w:lang w:val="uk-UA"/>
              </w:rPr>
              <w:t>. метра та нормативної площі житла або майнових прав на житло, що будується, покривається позичальником за рахунок першого внеску.</w:t>
            </w:r>
          </w:p>
          <w:p w14:paraId="7D19C042" w14:textId="77777777" w:rsidR="00073ED0" w:rsidRPr="00020DCC" w:rsidRDefault="00073ED0" w:rsidP="004C346A">
            <w:pPr>
              <w:jc w:val="both"/>
              <w:rPr>
                <w:rFonts w:ascii="Times New Roman" w:hAnsi="Times New Roman"/>
                <w:szCs w:val="24"/>
                <w:lang w:val="uk-UA"/>
              </w:rPr>
            </w:pPr>
            <w:r w:rsidRPr="00020DCC">
              <w:rPr>
                <w:rFonts w:ascii="Times New Roman" w:hAnsi="Times New Roman"/>
                <w:szCs w:val="24"/>
                <w:lang w:val="uk-UA"/>
              </w:rPr>
              <w:lastRenderedPageBreak/>
              <w:t>Сума кредиту не може бути більшою ніж вартість житла або майнових прав на житло, що будується, за договорами, за якими позичальник набуває право власності на житло, або здійснюється фінансування будівництва об’єкта будівництва, складовою частиною якого є майнові права на житло, що будується, за вирахуванням суми першого внеску.</w:t>
            </w:r>
          </w:p>
        </w:tc>
      </w:tr>
    </w:tbl>
    <w:p w14:paraId="50A7F353" w14:textId="77777777" w:rsidR="00073ED0" w:rsidRPr="00774AD9" w:rsidRDefault="00073ED0" w:rsidP="00073ED0">
      <w:pPr>
        <w:ind w:firstLine="567"/>
        <w:jc w:val="both"/>
        <w:rPr>
          <w:rFonts w:ascii="Times New Roman" w:hAnsi="Times New Roman"/>
          <w:szCs w:val="24"/>
          <w:lang w:val="uk-UA"/>
        </w:rPr>
      </w:pPr>
    </w:p>
    <w:p w14:paraId="562E9569" w14:textId="77777777" w:rsidR="00073ED0" w:rsidRPr="00774AD9" w:rsidRDefault="00073ED0" w:rsidP="00073ED0">
      <w:pPr>
        <w:pStyle w:val="a3"/>
        <w:numPr>
          <w:ilvl w:val="0"/>
          <w:numId w:val="2"/>
        </w:numPr>
        <w:tabs>
          <w:tab w:val="left" w:pos="1134"/>
        </w:tabs>
        <w:spacing w:after="200" w:line="276" w:lineRule="auto"/>
        <w:ind w:left="0" w:firstLine="567"/>
        <w:jc w:val="both"/>
        <w:rPr>
          <w:rFonts w:ascii="Times New Roman" w:hAnsi="Times New Roman"/>
          <w:lang w:val="uk-UA"/>
        </w:rPr>
      </w:pPr>
      <w:proofErr w:type="spellStart"/>
      <w:r w:rsidRPr="00774AD9">
        <w:rPr>
          <w:rFonts w:ascii="Times New Roman" w:hAnsi="Times New Roman"/>
          <w:lang w:val="uk-UA"/>
        </w:rPr>
        <w:t>Внести</w:t>
      </w:r>
      <w:proofErr w:type="spellEnd"/>
      <w:r w:rsidRPr="00774AD9">
        <w:rPr>
          <w:rFonts w:ascii="Times New Roman" w:hAnsi="Times New Roman"/>
          <w:lang w:val="uk-UA"/>
        </w:rPr>
        <w:t xml:space="preserve"> зміни до «Мінімального першого (початкового) внеску Позичальника» пункту </w:t>
      </w:r>
      <w:r w:rsidRPr="00774AD9">
        <w:rPr>
          <w:rFonts w:ascii="Times New Roman" w:hAnsi="Times New Roman" w:cs="Times New Roman"/>
        </w:rPr>
        <w:t>3.3 УМОВИ КРЕДИТУВАННЯ</w:t>
      </w:r>
      <w:r w:rsidRPr="00774AD9">
        <w:rPr>
          <w:rFonts w:ascii="Times New Roman" w:hAnsi="Times New Roman" w:cs="Times New Roman"/>
          <w:lang w:val="uk-UA"/>
        </w:rPr>
        <w:t xml:space="preserve"> </w:t>
      </w:r>
      <w:r w:rsidRPr="00774AD9">
        <w:rPr>
          <w:rFonts w:ascii="Times New Roman" w:hAnsi="Times New Roman"/>
          <w:lang w:val="uk-UA"/>
        </w:rPr>
        <w:t>розділу 3. «ІПОТЕЧНИЙ КРЕДИТ» Правил, та викласти його у наступній редакції:</w:t>
      </w:r>
    </w:p>
    <w:tbl>
      <w:tblPr>
        <w:tblStyle w:val="a4"/>
        <w:tblW w:w="0" w:type="auto"/>
        <w:tblLook w:val="04A0" w:firstRow="1" w:lastRow="0" w:firstColumn="1" w:lastColumn="0" w:noHBand="0" w:noVBand="1"/>
      </w:tblPr>
      <w:tblGrid>
        <w:gridCol w:w="3397"/>
        <w:gridCol w:w="6232"/>
      </w:tblGrid>
      <w:tr w:rsidR="00073ED0" w:rsidRPr="00774AD9" w14:paraId="2E8082E9" w14:textId="77777777" w:rsidTr="004C346A">
        <w:trPr>
          <w:trHeight w:val="300"/>
        </w:trPr>
        <w:tc>
          <w:tcPr>
            <w:tcW w:w="3510" w:type="dxa"/>
          </w:tcPr>
          <w:p w14:paraId="5426CA50" w14:textId="77777777" w:rsidR="00073ED0" w:rsidRPr="00774AD9" w:rsidRDefault="00073ED0" w:rsidP="004C346A">
            <w:pPr>
              <w:rPr>
                <w:rFonts w:ascii="Times New Roman" w:hAnsi="Times New Roman"/>
                <w:szCs w:val="24"/>
                <w:lang w:val="uk-UA"/>
              </w:rPr>
            </w:pPr>
            <w:r w:rsidRPr="00774AD9">
              <w:rPr>
                <w:rFonts w:ascii="Times New Roman" w:hAnsi="Times New Roman"/>
                <w:szCs w:val="24"/>
                <w:lang w:val="uk-UA"/>
              </w:rPr>
              <w:t>Мінімальний перший (початковий) внесок Позичальника</w:t>
            </w:r>
          </w:p>
        </w:tc>
        <w:tc>
          <w:tcPr>
            <w:tcW w:w="6521" w:type="dxa"/>
          </w:tcPr>
          <w:p w14:paraId="6F2C51DA" w14:textId="77777777" w:rsidR="00073ED0" w:rsidRPr="00774AD9" w:rsidRDefault="00073ED0" w:rsidP="004C346A">
            <w:pPr>
              <w:jc w:val="both"/>
              <w:rPr>
                <w:rFonts w:ascii="Times New Roman" w:hAnsi="Times New Roman"/>
                <w:szCs w:val="24"/>
                <w:lang w:val="uk-UA"/>
              </w:rPr>
            </w:pPr>
            <w:r w:rsidRPr="00774AD9">
              <w:rPr>
                <w:rFonts w:ascii="Times New Roman" w:hAnsi="Times New Roman"/>
                <w:szCs w:val="24"/>
                <w:lang w:val="uk-UA"/>
              </w:rPr>
              <w:t xml:space="preserve">▪ не менш як 20 відсотків вартості предмета іпотеки; </w:t>
            </w:r>
          </w:p>
          <w:p w14:paraId="124CFC87" w14:textId="77777777" w:rsidR="00073ED0" w:rsidRPr="00774AD9" w:rsidRDefault="00073ED0" w:rsidP="004C346A">
            <w:pPr>
              <w:jc w:val="both"/>
              <w:rPr>
                <w:rFonts w:ascii="Times New Roman" w:hAnsi="Times New Roman"/>
                <w:szCs w:val="24"/>
                <w:lang w:val="uk-UA"/>
              </w:rPr>
            </w:pPr>
            <w:r w:rsidRPr="00774AD9">
              <w:rPr>
                <w:rFonts w:ascii="Times New Roman" w:hAnsi="Times New Roman"/>
                <w:szCs w:val="24"/>
                <w:lang w:val="uk-UA"/>
              </w:rPr>
              <w:t xml:space="preserve">▪ початковий внесок сплачується Позичальником продавцю житла </w:t>
            </w:r>
            <w:r>
              <w:rPr>
                <w:rFonts w:ascii="Times New Roman" w:hAnsi="Times New Roman"/>
                <w:szCs w:val="24"/>
                <w:lang w:val="uk-UA"/>
              </w:rPr>
              <w:t>або</w:t>
            </w:r>
            <w:r w:rsidRPr="00774AD9">
              <w:rPr>
                <w:rFonts w:ascii="Times New Roman" w:hAnsi="Times New Roman"/>
                <w:szCs w:val="24"/>
                <w:lang w:val="uk-UA"/>
              </w:rPr>
              <w:t xml:space="preserve"> майнових прав на житло, що будується, факт його оплати має бути підтверджений документально: в договорі купівлі-продажу, нотаріальною розпискою або іншим платіжним документом.</w:t>
            </w:r>
          </w:p>
        </w:tc>
      </w:tr>
    </w:tbl>
    <w:p w14:paraId="132B0382" w14:textId="77777777" w:rsidR="00073ED0" w:rsidRPr="00774AD9" w:rsidRDefault="00073ED0" w:rsidP="00073ED0">
      <w:pPr>
        <w:tabs>
          <w:tab w:val="left" w:pos="1134"/>
        </w:tabs>
        <w:ind w:left="207"/>
        <w:jc w:val="both"/>
        <w:rPr>
          <w:rFonts w:ascii="Times New Roman" w:hAnsi="Times New Roman"/>
          <w:szCs w:val="24"/>
          <w:lang w:val="uk-UA"/>
        </w:rPr>
      </w:pPr>
    </w:p>
    <w:p w14:paraId="7432440D" w14:textId="77777777" w:rsidR="00073ED0" w:rsidRDefault="00073ED0" w:rsidP="00073ED0">
      <w:pPr>
        <w:pStyle w:val="a3"/>
        <w:numPr>
          <w:ilvl w:val="0"/>
          <w:numId w:val="2"/>
        </w:numPr>
        <w:tabs>
          <w:tab w:val="left" w:pos="1134"/>
        </w:tabs>
        <w:spacing w:after="200" w:line="276" w:lineRule="auto"/>
        <w:ind w:left="0" w:firstLine="567"/>
        <w:jc w:val="both"/>
        <w:rPr>
          <w:rFonts w:ascii="Times New Roman" w:hAnsi="Times New Roman"/>
          <w:lang w:val="uk-UA"/>
        </w:rPr>
      </w:pPr>
      <w:proofErr w:type="spellStart"/>
      <w:r w:rsidRPr="00774AD9">
        <w:rPr>
          <w:rFonts w:ascii="Times New Roman" w:hAnsi="Times New Roman"/>
          <w:lang w:val="uk-UA"/>
        </w:rPr>
        <w:t>Внести</w:t>
      </w:r>
      <w:proofErr w:type="spellEnd"/>
      <w:r w:rsidRPr="00774AD9">
        <w:rPr>
          <w:rFonts w:ascii="Times New Roman" w:hAnsi="Times New Roman"/>
          <w:lang w:val="uk-UA"/>
        </w:rPr>
        <w:t xml:space="preserve"> зміни до «Супутніх витрат при оформленні кредиту» пункту 3.3 «УМОВИ КРЕДИТУВАННЯ» розділу 3. «ІПОТЕЧНИЙ КРЕДИТ» Правил та викласти його у наступній редакції:</w:t>
      </w:r>
    </w:p>
    <w:p w14:paraId="30185080" w14:textId="77777777" w:rsidR="004451BD" w:rsidRPr="00774AD9" w:rsidRDefault="004451BD" w:rsidP="004451BD">
      <w:pPr>
        <w:pStyle w:val="a3"/>
        <w:tabs>
          <w:tab w:val="left" w:pos="1134"/>
        </w:tabs>
        <w:spacing w:after="200" w:line="276" w:lineRule="auto"/>
        <w:ind w:left="567"/>
        <w:jc w:val="both"/>
        <w:rPr>
          <w:rFonts w:ascii="Times New Roman" w:hAnsi="Times New Roman"/>
          <w:lang w:val="uk-UA"/>
        </w:rPr>
      </w:pPr>
    </w:p>
    <w:tbl>
      <w:tblPr>
        <w:tblStyle w:val="a4"/>
        <w:tblW w:w="0" w:type="auto"/>
        <w:tblInd w:w="-34" w:type="dxa"/>
        <w:tblLook w:val="04A0" w:firstRow="1" w:lastRow="0" w:firstColumn="1" w:lastColumn="0" w:noHBand="0" w:noVBand="1"/>
      </w:tblPr>
      <w:tblGrid>
        <w:gridCol w:w="3423"/>
        <w:gridCol w:w="6240"/>
      </w:tblGrid>
      <w:tr w:rsidR="00073ED0" w:rsidRPr="00774AD9" w14:paraId="7C6A53A7" w14:textId="77777777" w:rsidTr="004C346A">
        <w:tc>
          <w:tcPr>
            <w:tcW w:w="3544" w:type="dxa"/>
          </w:tcPr>
          <w:p w14:paraId="47699EE8" w14:textId="77777777" w:rsidR="00073ED0" w:rsidRPr="00774AD9" w:rsidRDefault="00073ED0" w:rsidP="004C346A">
            <w:pPr>
              <w:pStyle w:val="a3"/>
              <w:tabs>
                <w:tab w:val="left" w:pos="1134"/>
              </w:tabs>
              <w:ind w:left="0"/>
              <w:jc w:val="both"/>
              <w:rPr>
                <w:rFonts w:ascii="Times New Roman" w:hAnsi="Times New Roman"/>
                <w:lang w:val="uk-UA"/>
              </w:rPr>
            </w:pPr>
            <w:r w:rsidRPr="00774AD9">
              <w:rPr>
                <w:rFonts w:ascii="Times New Roman" w:hAnsi="Times New Roman"/>
                <w:lang w:val="uk-UA"/>
              </w:rPr>
              <w:t>Супутні витрати при оформленні кредиту</w:t>
            </w:r>
          </w:p>
        </w:tc>
        <w:tc>
          <w:tcPr>
            <w:tcW w:w="6521" w:type="dxa"/>
          </w:tcPr>
          <w:p w14:paraId="3A02119C" w14:textId="77777777" w:rsidR="00073ED0" w:rsidRPr="00774AD9" w:rsidRDefault="00073ED0" w:rsidP="004451BD">
            <w:pPr>
              <w:jc w:val="both"/>
              <w:rPr>
                <w:rFonts w:ascii="Times New Roman" w:hAnsi="Times New Roman"/>
                <w:lang w:val="uk-UA"/>
              </w:rPr>
            </w:pPr>
            <w:r w:rsidRPr="00774AD9">
              <w:rPr>
                <w:rFonts w:ascii="Times New Roman" w:hAnsi="Times New Roman"/>
                <w:lang w:val="uk-UA"/>
              </w:rPr>
              <w:t xml:space="preserve">Витрати, пов’язані із оформленням права власності на житло </w:t>
            </w:r>
            <w:r>
              <w:rPr>
                <w:rFonts w:ascii="Times New Roman" w:hAnsi="Times New Roman"/>
                <w:lang w:val="uk-UA"/>
              </w:rPr>
              <w:t>або</w:t>
            </w:r>
            <w:r w:rsidRPr="00774AD9">
              <w:rPr>
                <w:rFonts w:ascii="Times New Roman" w:hAnsi="Times New Roman"/>
                <w:lang w:val="uk-UA"/>
              </w:rPr>
              <w:t xml:space="preserve"> майнових прав на житло, що будується, (при придбанні), оформленням іпотеки, страхуванням предмета іпотеки, оцінкою вартості предмета іпотеки суб’єктом оціночної діяльності, та послугами нотаріуса несе Позичальник.</w:t>
            </w:r>
          </w:p>
        </w:tc>
      </w:tr>
    </w:tbl>
    <w:p w14:paraId="430B7446" w14:textId="77777777" w:rsidR="00294305" w:rsidRDefault="00294305"/>
    <w:sectPr w:rsidR="00294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D84"/>
    <w:multiLevelType w:val="multilevel"/>
    <w:tmpl w:val="B510AA70"/>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570103BA"/>
    <w:multiLevelType w:val="hybridMultilevel"/>
    <w:tmpl w:val="ED9048C8"/>
    <w:lvl w:ilvl="0" w:tplc="0422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70620068">
    <w:abstractNumId w:val="0"/>
  </w:num>
  <w:num w:numId="2" w16cid:durableId="1880821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D0"/>
    <w:rsid w:val="00020DCC"/>
    <w:rsid w:val="00073ED0"/>
    <w:rsid w:val="00261588"/>
    <w:rsid w:val="00294305"/>
    <w:rsid w:val="004451BD"/>
    <w:rsid w:val="00B402DC"/>
    <w:rsid w:val="00EE24D7"/>
    <w:rsid w:val="00F901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2362"/>
  <w15:chartTrackingRefBased/>
  <w15:docId w15:val="{E19204E9-BFE9-4A5C-801C-11E1EE4C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3ED0"/>
    <w:pPr>
      <w:spacing w:after="200" w:line="276" w:lineRule="auto"/>
    </w:pPr>
    <w:rPr>
      <w:rFonts w:ascii="Calibri" w:eastAsia="Calibri" w:hAnsi="Calibri" w:cs="Times New Roman"/>
      <w:kern w:val="0"/>
      <w:sz w:val="24"/>
      <w:szCs w:val="2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ED0"/>
    <w:pPr>
      <w:spacing w:after="0" w:line="240" w:lineRule="auto"/>
      <w:ind w:left="720"/>
      <w:contextualSpacing/>
    </w:pPr>
    <w:rPr>
      <w:rFonts w:cs="Calibri"/>
      <w:szCs w:val="24"/>
    </w:rPr>
  </w:style>
  <w:style w:type="table" w:styleId="a4">
    <w:name w:val="Table Grid"/>
    <w:basedOn w:val="a1"/>
    <w:uiPriority w:val="59"/>
    <w:rsid w:val="00073ED0"/>
    <w:pPr>
      <w:spacing w:after="0" w:line="240" w:lineRule="auto"/>
    </w:pPr>
    <w:rPr>
      <w:rFonts w:ascii="Calibri" w:eastAsia="Calibri" w:hAnsi="Calibri" w:cs="Times New Roman"/>
      <w:kern w:val="0"/>
      <w:sz w:val="24"/>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a"/>
    <w:rsid w:val="00B402DC"/>
    <w:pPr>
      <w:spacing w:before="100" w:beforeAutospacing="1" w:after="100" w:afterAutospacing="1" w:line="240" w:lineRule="auto"/>
    </w:pPr>
    <w:rPr>
      <w:rFonts w:ascii="Times New Roman" w:eastAsia="Times New Roman" w:hAnsi="Times New Roman"/>
      <w:szCs w:val="24"/>
    </w:rPr>
  </w:style>
  <w:style w:type="character" w:customStyle="1" w:styleId="qowt-font3-timesnewroman">
    <w:name w:val="qowt-font3-timesnewroman"/>
    <w:basedOn w:val="a0"/>
    <w:rsid w:val="00B4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45daf-c3a2-4fb5-be27-908f8298977a">
      <Terms xmlns="http://schemas.microsoft.com/office/infopath/2007/PartnerControls"/>
    </lcf76f155ced4ddcb4097134ff3c332f>
    <TaxCatchAll xmlns="e8562901-3d7d-4bb5-8d2d-9968c4fd5b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3488FED2DB24478FC87B6FC277EAE3" ma:contentTypeVersion="12" ma:contentTypeDescription="Створення нового документа." ma:contentTypeScope="" ma:versionID="6c266bef7f58ea795b2adf73c3ff57db">
  <xsd:schema xmlns:xsd="http://www.w3.org/2001/XMLSchema" xmlns:xs="http://www.w3.org/2001/XMLSchema" xmlns:p="http://schemas.microsoft.com/office/2006/metadata/properties" xmlns:ns2="f9a45daf-c3a2-4fb5-be27-908f8298977a" xmlns:ns3="e8562901-3d7d-4bb5-8d2d-9968c4fd5b3b" targetNamespace="http://schemas.microsoft.com/office/2006/metadata/properties" ma:root="true" ma:fieldsID="bcbdb3de88e2d8ff1e1950c046cacbed" ns2:_="" ns3:_="">
    <xsd:import namespace="f9a45daf-c3a2-4fb5-be27-908f8298977a"/>
    <xsd:import namespace="e8562901-3d7d-4bb5-8d2d-9968c4fd5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45daf-c3a2-4fb5-be27-908f8298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Теги зображень" ma:readOnly="false" ma:fieldId="{5cf76f15-5ced-4ddc-b409-7134ff3c332f}" ma:taxonomyMulti="true" ma:sspId="547028e4-1017-43c7-9bde-454571fe74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62901-3d7d-4bb5-8d2d-9968c4fd5b3b"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16" nillable="true" ma:displayName="Taxonomy Catch All Column" ma:hidden="true" ma:list="{524e7341-52a8-4dc4-93eb-280835cfeecb}" ma:internalName="TaxCatchAll" ma:showField="CatchAllData" ma:web="e8562901-3d7d-4bb5-8d2d-9968c4f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CC3CC-EDBA-4F80-AADE-1CEA0CB724A8}">
  <ds:schemaRefs>
    <ds:schemaRef ds:uri="http://schemas.microsoft.com/office/2006/metadata/properties"/>
    <ds:schemaRef ds:uri="http://schemas.microsoft.com/office/infopath/2007/PartnerControls"/>
    <ds:schemaRef ds:uri="f9a45daf-c3a2-4fb5-be27-908f8298977a"/>
    <ds:schemaRef ds:uri="e8562901-3d7d-4bb5-8d2d-9968c4fd5b3b"/>
  </ds:schemaRefs>
</ds:datastoreItem>
</file>

<file path=customXml/itemProps2.xml><?xml version="1.0" encoding="utf-8"?>
<ds:datastoreItem xmlns:ds="http://schemas.openxmlformats.org/officeDocument/2006/customXml" ds:itemID="{8AD29B7A-CF4E-4D54-AA58-F2472A6DA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45daf-c3a2-4fb5-be27-908f8298977a"/>
    <ds:schemaRef ds:uri="e8562901-3d7d-4bb5-8d2d-9968c4fd5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59409-BC78-410D-AE7A-386D306BF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2620</Words>
  <Characters>1494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Bukevych</dc:creator>
  <cp:keywords/>
  <dc:description/>
  <cp:lastModifiedBy>Yurii Bukevych</cp:lastModifiedBy>
  <cp:revision>4</cp:revision>
  <dcterms:created xsi:type="dcterms:W3CDTF">2023-02-08T12:46:00Z</dcterms:created>
  <dcterms:modified xsi:type="dcterms:W3CDTF">2023-02-08T13:43:00Z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2023-02-08T13:07:53Z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cc7b7a84-96e3-4ee9-9175-c3f421d0d5fb</vt:lpwstr>
  </property>
  <property fmtid="{D5CDD505-2E9C-101B-9397-08002B2CF9AE}" pid="7" name="MSIP_Label_defa4170-0d19-0005-0004-bc88714345d2_ActionId">
    <vt:lpwstr>5e768f3d-b114-4160-b547-9d43b75f2ec3</vt:lpwstr>
  </property>
  <property fmtid="{D5CDD505-2E9C-101B-9397-08002B2CF9AE}" pid="8" name="MSIP_Label_defa4170-0d19-0005-0004-bc88714345d2_ContentBits">
    <vt:lpwstr>0</vt:lpwstr>
  </property>
  <property fmtid="{D5CDD505-2E9C-101B-9397-08002B2CF9AE}" pid="9" name="ContentTypeId">
    <vt:lpwstr>0x010100493488FED2DB24478FC87B6FC277EAE3</vt:lpwstr>
  </property>
  <property fmtid="{D5CDD505-2E9C-101B-9397-08002B2CF9AE}" pid="10" name="MediaServiceImageTags">
    <vt:lpwstr/>
  </property>
</Properties>
</file>